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trzecia polska przedsiębiorczyni chciała mieć własną firmę już wieku 20 lat. Znamy finalistki XVII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Zdobycie wykształcenia (50 proc.) i konkretnych zarobków (38 proc.) to najczęściej wymieniane ambicje zawodowe polskich przedsiębiorczyń z czasów, gdy miały ok. 20 lat. Aż 52 proc. kobiet prowadzących firmę deklaruje, że zrealizowała cele, które towarzyszyły jej przed laty. Jedynie 5 proc. przyznaje, że nie udało im się ich osiągnąć. Dane pochodzą z najnowszej części raportu „Polki i przedsiębiorczość 2025”, towarzyszącego XVII edycji konkursu Sukces Pisany Szminką, którego grono finałowe właśnie poznaliśmy.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Ambicją zawodową połowy obecnych przedsiębiorczyń w wieku 20 lat było zdobycie konkretnego wykształcenia,</w:t>
      </w:r>
      <w:r>
        <w:rPr>
          <w:rFonts w:ascii="calibri" w:hAnsi="calibri" w:eastAsia="calibri" w:cs="calibri"/>
          <w:sz w:val="24"/>
          <w:szCs w:val="24"/>
        </w:rPr>
        <w:t xml:space="preserve"> wskazują dane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Ambicje zawodowe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Tę samą ambicję podzielało 28 proc. wszystkich respondentów. Najczęściej padającą odpowiedzią wśród uczestników badania było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konkretnych zarobków</w:t>
      </w:r>
      <w:r>
        <w:rPr>
          <w:rFonts w:ascii="calibri" w:hAnsi="calibri" w:eastAsia="calibri" w:cs="calibri"/>
          <w:sz w:val="24"/>
          <w:szCs w:val="24"/>
        </w:rPr>
        <w:t xml:space="preserve"> (39 proc.) – wśród przedsiębiorczyń zajęła ona miejsce drugie (</w:t>
      </w:r>
      <w:r>
        <w:rPr>
          <w:rFonts w:ascii="calibri" w:hAnsi="calibri" w:eastAsia="calibri" w:cs="calibri"/>
          <w:sz w:val="24"/>
          <w:szCs w:val="24"/>
          <w:b/>
        </w:rPr>
        <w:t xml:space="preserve">38 proc.</w:t>
      </w:r>
      <w:r>
        <w:rPr>
          <w:rFonts w:ascii="calibri" w:hAnsi="calibri" w:eastAsia="calibri" w:cs="calibri"/>
          <w:sz w:val="24"/>
          <w:szCs w:val="24"/>
        </w:rPr>
        <w:t xml:space="preserve">). W dalszej kolejności przedsiębiorczynie wskazują </w:t>
      </w:r>
      <w:r>
        <w:rPr>
          <w:rFonts w:ascii="calibri" w:hAnsi="calibri" w:eastAsia="calibri" w:cs="calibri"/>
          <w:sz w:val="24"/>
          <w:szCs w:val="24"/>
          <w:b/>
        </w:rPr>
        <w:t xml:space="preserve">założenie i prowadzenie własnej firmy</w:t>
      </w:r>
      <w:r>
        <w:rPr>
          <w:rFonts w:ascii="calibri" w:hAnsi="calibri" w:eastAsia="calibri" w:cs="calibri"/>
          <w:sz w:val="24"/>
          <w:szCs w:val="24"/>
        </w:rPr>
        <w:t xml:space="preserve"> – w wieku 20 lat marzyła o tym co trzecia z nich </w:t>
      </w:r>
      <w:r>
        <w:rPr>
          <w:rFonts w:ascii="calibri" w:hAnsi="calibri" w:eastAsia="calibri" w:cs="calibri"/>
          <w:sz w:val="24"/>
          <w:szCs w:val="24"/>
          <w:b/>
        </w:rPr>
        <w:t xml:space="preserve">(33 proc.)</w:t>
      </w:r>
      <w:r>
        <w:rPr>
          <w:rFonts w:ascii="calibri" w:hAnsi="calibri" w:eastAsia="calibri" w:cs="calibri"/>
          <w:sz w:val="24"/>
          <w:szCs w:val="24"/>
        </w:rPr>
        <w:t xml:space="preserve">. Spośród wszystkich ankietowanych swoją przyszłość z własnym biznesem wiązało jedynie 15 proc. Badanie towarzyszące XVII edycji konkursu Sukces Pisany Szminką przeprowadziła Grupa 4P.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wielu kobiet przedsiębiorczość nie zaczyna się od decyzji o założeniu firmy, ale znacznie wcześniej – od budowania kompetencji, zdobywania wykształcenia i finansowej niezależności. Dopiero na tym fundamencie pojawia się gotowość do podejmowania większego ryzyka i myślenia o własnym biznesie jako naturalnym kroku w rozwoju zawodowym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inicjatorka konkursu Sukces Pisany Szminką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wspieranie młodych kobiet w edukacji i budowaniu doświadczenia zawodowego jest jednocześnie inwestycją w przyszłość kobiecej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Zdobycie pracy</w:t>
      </w:r>
      <w:r>
        <w:rPr>
          <w:rFonts w:ascii="calibri" w:hAnsi="calibri" w:eastAsia="calibri" w:cs="calibri"/>
          <w:sz w:val="24"/>
          <w:szCs w:val="24"/>
        </w:rPr>
        <w:t xml:space="preserve"> było w młodości ważnym zawodowym celem dla </w:t>
      </w:r>
      <w:r>
        <w:rPr>
          <w:rFonts w:ascii="calibri" w:hAnsi="calibri" w:eastAsia="calibri" w:cs="calibri"/>
          <w:sz w:val="24"/>
          <w:szCs w:val="24"/>
          <w:b/>
        </w:rPr>
        <w:t xml:space="preserve">31 proc.</w:t>
      </w:r>
      <w:r>
        <w:rPr>
          <w:rFonts w:ascii="calibri" w:hAnsi="calibri" w:eastAsia="calibri" w:cs="calibri"/>
          <w:sz w:val="24"/>
          <w:szCs w:val="24"/>
        </w:rPr>
        <w:t xml:space="preserve"> przedsiębiorczyń, a </w:t>
      </w:r>
      <w:r>
        <w:rPr>
          <w:rFonts w:ascii="calibri" w:hAnsi="calibri" w:eastAsia="calibri" w:cs="calibri"/>
          <w:sz w:val="24"/>
          <w:szCs w:val="24"/>
          <w:b/>
        </w:rPr>
        <w:t xml:space="preserve">praca na konkretnym stanowisku</w:t>
      </w:r>
      <w:r>
        <w:rPr>
          <w:rFonts w:ascii="calibri" w:hAnsi="calibri" w:eastAsia="calibri" w:cs="calibri"/>
          <w:sz w:val="24"/>
          <w:szCs w:val="24"/>
        </w:rPr>
        <w:t xml:space="preserve"> – dla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W grupie wszystkich badanych te ambicje podzielało kolejno 37 proc. i 19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5 proc. przedsiębiorczyń nie zrealizowało ambicji zawodowych z młodości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wskazują, że co drugiej przedsiębiorczyni (52 proc.) udało się osiągnąć cele zawodowe, które miała w wieku ok. 20 lat. Co trzecia (34 proc.) deklaruje, że ambicje zawodowe zrealizowane zostały częściowo. Jedynie 5 proc. badanych przedsiębiorczyń przyznaje, że nie spełniły swoich planów. W grupie wszystkich badanych tylko 15 proc. zrealizowało swoje ambicje, 36 proc. zrobiło to częściowo, a 16 proc. nie udało się tego osiągnąć.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Cele formułowane na początku drogi zawodowej nie są jedynie marzeniami – wiele przedsiębiorczyń konsekwentnie przekuwa je w konkretne decyzje, rozwój kompetencji i odważne wybory zawodowe. Kiedy ambicja spotyka się z determinacją oraz sprzyjającym otoczeniem, kobiety realnie budują swoją niezależność i wpływ w gospodarce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 Country Manager JetBrains Poland, partnera kategorii Liderka w Nowych Technologiach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ważny sygnał, że potencjał przedsiębiorczy kobiet w Polsce jest nie tylko duży, ale też coraz skuteczniej realizowany.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„Polki i przedsiębiorczość 2025” powstał w ramach XVII edycji konkursu Sukces Pisany Szminką, najstarszej i największej inicjatywy wspierającej przedsiębiorczość kobiet, a także liderki i liderów działających na rzecz równości, różnorodności oraz włączania w Polsce. Poznaliśmy grono finałowe tegorocznej edycji: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XVII edycji konkursu Sukces Pisany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POWYŻEJ 10 MLN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Kołaszewska-Gabor</w:t>
      </w:r>
      <w:r>
        <w:rPr>
          <w:rFonts w:ascii="calibri" w:hAnsi="calibri" w:eastAsia="calibri" w:cs="calibri"/>
          <w:sz w:val="24"/>
          <w:szCs w:val="24"/>
        </w:rPr>
        <w:t xml:space="preserve">, Prezeska Zarządu FK Machinery by Kołaszewski – europejskiego producenta osprzętu do maszyn rolniczych i budowlanych. Firma dostarcza ponad 250 modeli sprzętu, a jej rozwiązania pracują już w 50 krajach na wszystkich kontynentach. Jej przewagą jest połączenie 50 lat doświadczenia z własnym zaawansowanym parkiem technologicznym.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Stępień</w:t>
      </w:r>
      <w:r>
        <w:rPr>
          <w:rFonts w:ascii="calibri" w:hAnsi="calibri" w:eastAsia="calibri" w:cs="calibri"/>
          <w:sz w:val="24"/>
          <w:szCs w:val="24"/>
        </w:rPr>
        <w:t xml:space="preserve">, Prezeska Zarządu Młyna Mazurki – rozwija firmę specjalizującą się w produkcji mąki. Tylko w ostatnim roku zwiększyła sprzedaż o blisko 40 proc., podwoiła zatrudnienie i istotnie wzmocniła eksport, który odpowiada dziś za około 30 proc. produkcji. Jako pierwsza w Polsce wdrożyła nowatorskie, kartonowe opakowania z miarką, które ułatwiają dozowanie i przechowywanie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Wanda Stypułkowska</w:t>
      </w:r>
      <w:r>
        <w:rPr>
          <w:rFonts w:ascii="calibri" w:hAnsi="calibri" w:eastAsia="calibri" w:cs="calibri"/>
          <w:sz w:val="24"/>
          <w:szCs w:val="24"/>
        </w:rPr>
        <w:t xml:space="preserve">, Prezeska Zarządu MPS International – firmy, która łączy produkcję kosmetyków i w pełni recyklingowalnych opakowań. Zapewnia markom kompleksową realizację – od receptury i badań po opakowanie, produkcję i przygotowanie produktu do sprzedaży. Spółka działa dziś w oparciu o 100 proc. polski kapitał, zwiększając w ostatnich latach sprzedaż o ponad 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Barańska </w:t>
      </w:r>
      <w:r>
        <w:rPr>
          <w:rFonts w:ascii="calibri" w:hAnsi="calibri" w:eastAsia="calibri" w:cs="calibri"/>
          <w:sz w:val="24"/>
          <w:szCs w:val="24"/>
        </w:rPr>
        <w:t xml:space="preserve">– właścicielka Baranska Design – projektuje instalacje, rzeźby i obiekty artystyczne z ręcznie formowanego szkła. Notuje wzrost sprzedaży na poziomie 30-40 proc. rok do roku. Dzięki zwiększeniu eksportu o prawie 50 proc., jej marka ma również silną pozycję za granicą. Projekty Baranska Design są obecne na najważniejszych targach sztuki i designu w Londynie, Nowym Jorku czy Mediolanie.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Kieraszewicz </w:t>
      </w:r>
      <w:r>
        <w:rPr>
          <w:rFonts w:ascii="calibri" w:hAnsi="calibri" w:eastAsia="calibri" w:cs="calibri"/>
          <w:sz w:val="24"/>
          <w:szCs w:val="24"/>
        </w:rPr>
        <w:t xml:space="preserve">– założycielka Muzeum Mydła i Bydgoskiej Wytwórni Mydła – stworzyła biznes łączący turystykę, edukację i produkcję naturalnych kosmetyków. Jej interaktywne Muzeum odwiedziło w 2025 roku ponad 61 tys. gości, zwiększając zyski netto o ponad 60 proc. W czasie pandemii zdywersyfikowała działalność, utrzymując wszystkie miejsca pracy i od tamtej pory zwiększając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Kornelia Samanta Składzień</w:t>
      </w:r>
      <w:r>
        <w:rPr>
          <w:rFonts w:ascii="calibri" w:hAnsi="calibri" w:eastAsia="calibri" w:cs="calibri"/>
          <w:sz w:val="24"/>
          <w:szCs w:val="24"/>
        </w:rPr>
        <w:t xml:space="preserve"> – właścicielka Polka Pilates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– marki oferującej treningi pilatesu na reformerach. Z jednej lokalizacji zbudowała sieć 15 butikowych studiów działających w modelu franczyzowym, zwiększając liczbę klientów o 900 proc. w przeciągu 2 lat. Stworzyła też własne zaplecze edukacyjne – Polka Academy przeszkoliła i certyfikowała już ponad 120 instruktorek.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Kałkowska</w:t>
      </w:r>
      <w:r>
        <w:rPr>
          <w:rFonts w:ascii="calibri" w:hAnsi="calibri" w:eastAsia="calibri" w:cs="calibri"/>
          <w:sz w:val="24"/>
          <w:szCs w:val="24"/>
        </w:rPr>
        <w:t xml:space="preserve"> – właścicielka marki Cudowianki z autorskimi artykułami papierniczymi i akcesoriami. Zaczynała od sprzedaży kartek okolicznościowych w jednej z wrocławskich księgarni, a dziś jej produkty są dostępne w największych sieciach sprzedaży w 179 lokalizacjach w całej Polsce. W ostatnich trzech latach niemal czterokrotnie zwiększyła liczbę klientów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Aleksandra Kuźnia</w:t>
      </w:r>
      <w:r>
        <w:rPr>
          <w:rFonts w:ascii="calibri" w:hAnsi="calibri" w:eastAsia="calibri" w:cs="calibri"/>
          <w:sz w:val="24"/>
          <w:szCs w:val="24"/>
        </w:rPr>
        <w:t xml:space="preserve"> – założycielka marki Aura Sun, specjalizującej się w segmencie bezpiecznego opalania. Tworzy samoopalacze do użytku domowego i rozwija szkolenia z opalania natryskowego, budując sieć ekspertek w całej Polsce. Firma notuje ok. 100 proc. wzrostu przychodów rok do roku, a jej produkty są dostępne w największych sieciach beauty online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Witkowska </w:t>
      </w:r>
      <w:r>
        <w:rPr>
          <w:rFonts w:ascii="calibri" w:hAnsi="calibri" w:eastAsia="calibri" w:cs="calibri"/>
          <w:sz w:val="24"/>
          <w:szCs w:val="24"/>
        </w:rPr>
        <w:t xml:space="preserve">– właścicielka Architektury Porządku, kompleksowego projektu edukacyjnego przygotowującego do pracy w branży declutteringu i organizacji przestrzeni. Z jej autorskiego programu skorzystało już ponad 800 kursantek – zarówno w Polsce, jak i za granicą. W ciągu dwóch lat niemal podwoiła liczbę klientek, tworząc wokół marki silną i zaangażowaną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Jolanta Koszelew</w:t>
      </w:r>
      <w:r>
        <w:rPr>
          <w:rFonts w:ascii="calibri" w:hAnsi="calibri" w:eastAsia="calibri" w:cs="calibri"/>
          <w:sz w:val="24"/>
          <w:szCs w:val="24"/>
        </w:rPr>
        <w:t xml:space="preserve"> – CEO Sentio (The Routing Lab), firmy technologicznej rozwijającej autorskie systemy AI do planowania tras dostaw. Jej technologia automatyzuje logistykę i obniża koszty ostatniego etapu dostawy – najdroższej części całego procesu. Rozwiązanie zostało przetestowane już w ponad 40 firmach i znajduje zastosowanie m.in. w logistyce kurierskiej, dostawach żywności czy odbiorze odpadów.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Kraińska</w:t>
      </w:r>
      <w:r>
        <w:rPr>
          <w:rFonts w:ascii="calibri" w:hAnsi="calibri" w:eastAsia="calibri" w:cs="calibri"/>
          <w:sz w:val="24"/>
          <w:szCs w:val="24"/>
        </w:rPr>
        <w:t xml:space="preserve"> – CEO When U Buy, platformy, która pozwala konsumentom zarządzać wszystkimi zakupami z różnych sklepów w jednym miejscu. Autorska technologia firmy automatycznie zbiera i porządkuje dane o zakupach – od płatności i dostaw po zwroty, eliminując chaos wielu aplikacji i setek maili. System porządkuje informacje dotąd rozproszone między sprzedawcami, przewoźnikami i skrzynką 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 </w:t>
      </w:r>
      <w:r>
        <w:rPr>
          <w:rFonts w:ascii="calibri" w:hAnsi="calibri" w:eastAsia="calibri" w:cs="calibri"/>
          <w:sz w:val="24"/>
          <w:szCs w:val="24"/>
        </w:rPr>
        <w:t xml:space="preserve">– CEO Aleet, firmy technologicznej tworzącej rozwiązania AI dla transportu i logistyki, które wspiera planowanie tras, harmonogramów i wykorzystania floty w czasie rzeczywistym. Jej rozwiązanie pozwala ograniczyć koszty operacyjne nawet o ¼ i obniżyć zapotrzebowanie na flotę. System automatyzuje planowanie tras i zarządzanie flotą, pomagając firmom szybciej podejmować decyzje i poprawiać rentowność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Łucja Rugor</w:t>
      </w:r>
      <w:r>
        <w:rPr>
          <w:rFonts w:ascii="calibri" w:hAnsi="calibri" w:eastAsia="calibri" w:cs="calibri"/>
          <w:sz w:val="24"/>
          <w:szCs w:val="24"/>
        </w:rPr>
        <w:t xml:space="preserve"> – CEO Kosmok, firmy z branży kosmicznej, która rozwija autorską technologię pozwalającą tankować satelity na orbicie i wydłużać ich misje, wspierając jednocześnie rozwój bardziej zrównoważonych usług kosmicznych. Firma stworzyła CIRI – rozwiązanie, które może ograniczać straty sięgające setek milionów euro, bo dziś wiele satelitów kończy pracę wyłącznie z powodu wyczerpania paliwa.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Polina Khlibanovska</w:t>
      </w:r>
      <w:r>
        <w:rPr>
          <w:rFonts w:ascii="calibri" w:hAnsi="calibri" w:eastAsia="calibri" w:cs="calibri"/>
          <w:sz w:val="24"/>
          <w:szCs w:val="24"/>
        </w:rPr>
        <w:t xml:space="preserve"> – założycielka Smart Kindergarten Warsaw, anglojęzycznej placówki przedszkolnej wspierającej międzynarodowe rodziny mieszkające w Polsce. Po przerwaniu działalności w Ukrainie odbudowała biznes w Warszawie, tworząc miejsce, które pomaga dzieciom bezpiecznie wejść w nowe środowisko i przełamać bariery językowe. W ciągu zaledwie dwóch lat podwoiła zyski, a liczba jej klientów wzrosła o blisko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Mariya Terekhova</w:t>
      </w:r>
      <w:r>
        <w:rPr>
          <w:rFonts w:ascii="calibri" w:hAnsi="calibri" w:eastAsia="calibri" w:cs="calibri"/>
          <w:sz w:val="24"/>
          <w:szCs w:val="24"/>
        </w:rPr>
        <w:t xml:space="preserve"> – CEO Fast Line Studio Mariya, sieci salonów beauty, które pozwalają klientkom wykonać od 2 do 5 zabiegów jednocześnie – w 90 minut. Firma działa już w 9 lokalizacjach w Polsce i Europie. W ciągu ostatnich trzech lat Fast Line Studio stworzyło ponad 40 miejsc pracy i zbudowało stabilną sieć gotową do dalszej ekspansji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</w:t>
      </w:r>
      <w:r>
        <w:rPr>
          <w:rFonts w:ascii="calibri" w:hAnsi="calibri" w:eastAsia="calibri" w:cs="calibri"/>
          <w:sz w:val="24"/>
          <w:szCs w:val="24"/>
        </w:rPr>
        <w:t xml:space="preserve"> – CEO firmy MV Company, międzynarodowej firmy doradczo-finansowej wspierającej przedsiębiorców w Polsce i Unii Europejskiej. Spółka łączy usługi księgowe, podatkowe, prawne i strategiczne, pomagając firmom bezpiecznie rozwijać się i skalować działalność na rynkach międzynarodowych. W ciągu dwóch lat zwiększyła przychody o ponad 250 proc., a przychody z rynków zagranicznych odpowiadają dziś za 35 proc.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Kalisz</w:t>
      </w:r>
      <w:r>
        <w:rPr>
          <w:rFonts w:ascii="calibri" w:hAnsi="calibri" w:eastAsia="calibri" w:cs="calibri"/>
          <w:sz w:val="24"/>
          <w:szCs w:val="24"/>
        </w:rPr>
        <w:t xml:space="preserve"> – właścicielka firmy Nanosphere, opracowała innowacyjną farbę proszkową z dodatkiem grafenu dla branży motoryzacyjnej. Jej technologia zwiększa odporność elementów na korozję, uszkodzenia mechaniczne i czynniki chemiczne, a jednocześnie ogranicza zużycie farby w procesie produkcji. Dziś z wykorzystaniem tej farby malowanych jest rocznie ponad 7 mln komponentów układu przeniesienia napędu.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Klak</w:t>
      </w:r>
      <w:r>
        <w:rPr>
          <w:rFonts w:ascii="calibri" w:hAnsi="calibri" w:eastAsia="calibri" w:cs="calibri"/>
          <w:sz w:val="24"/>
          <w:szCs w:val="24"/>
        </w:rPr>
        <w:t xml:space="preserve"> – wiceprezeska Zarządu Polbionica, rozwija projekt bionicznej trzustki opartej na technologii biodruku 3D i inżynierii tkankowej. Opracowany przez jej zespół żywy model narządu potrafi produkować insulinę, glukagon i peptyd C, naśladując działanie naturalnej trzustki. Technologia może zwiększyć dostępność terapii dla pacjentów z cukrzycą typu 1 i przewlekłym zapaleniem trzustki – dziś na świecie około 3 mln osób potrzebuje przeszczepu, podczas gdy rocznie wykonuje się jedynie ok. 1500 takich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Dagmara Słota</w:t>
      </w:r>
      <w:r>
        <w:rPr>
          <w:rFonts w:ascii="calibri" w:hAnsi="calibri" w:eastAsia="calibri" w:cs="calibri"/>
          <w:sz w:val="24"/>
          <w:szCs w:val="24"/>
        </w:rPr>
        <w:t xml:space="preserve"> – badaczka Politechniki Krakowskiej im. Tadeusza Kościuszki, opracowała innowacyjną powłokę do implantów ortopedycznych, która sprawia, że organizm lepiej je toleruje oraz szybciej łączy z kością. Rozwiązanie wspiera gojenie, ogranicza stan zapalny i pomaga chronić przed zakażeniami, uwalniając substancje wspomagające regenerację dokładnie tam, gdzie są potrzebne. Technologia może skrócić czas leczenia i zmniejszyć ryzyko powikłań po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Stafiniak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CTO Molecular Biology w firmie Bioaccure</w:t>
      </w:r>
      <w:r>
        <w:rPr>
          <w:rFonts w:ascii="calibri" w:hAnsi="calibri" w:eastAsia="calibri" w:cs="calibri"/>
          <w:sz w:val="24"/>
          <w:szCs w:val="24"/>
        </w:rPr>
        <w:t xml:space="preserve">, współtworzy technologię PCR.smart®, przenośną platformę diagnostyki molekularnej z dedykowanymi testami, która pozwala wykrywać zagrożenia biologiczne bezpośrednio w miejscu pobrania próbki. Rozwiązanie skraca czas diagnostyki z kilku dni do mniej niż 90 minut, wspierając bezpieczeństwo żywności, wody oraz optymalizację decyzji terapeutycznych w weterynarii. Rozwiązanie przenosi precyzyjną diagnostykę z laboratorium bezpośrednio do miejsca, w którym pojawia się ryzyko biologiczne.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Polaków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6/03/2025-Raport.-Polki-i-przedsiebiorczosc.-Cz.-5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2026-06-29T03:58:13+02:00</dcterms:created>
  <dcterms:modified xsi:type="dcterms:W3CDTF">2026-06-29T03:58:13+02:00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